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drawings/drawing1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6930" w:rsidRPr="00B47361" w:rsidRDefault="00B47361">
      <w:pPr>
        <w:rPr>
          <w:rFonts w:ascii="Californian FB" w:hAnsi="Californian FB"/>
          <w:sz w:val="40"/>
          <w:szCs w:val="40"/>
        </w:rPr>
      </w:pPr>
      <w:r w:rsidRPr="00B47361">
        <w:rPr>
          <w:rFonts w:ascii="Californian FB" w:hAnsi="Californian FB"/>
          <w:sz w:val="40"/>
          <w:szCs w:val="40"/>
        </w:rPr>
        <w:t>Victorville</w:t>
      </w:r>
    </w:p>
    <w:p w:rsidR="00B47361" w:rsidRDefault="00B47361">
      <w:pPr>
        <w:rPr>
          <w:rFonts w:ascii="Californian FB" w:hAnsi="Californian FB"/>
          <w:sz w:val="40"/>
          <w:szCs w:val="40"/>
        </w:rPr>
      </w:pPr>
      <w:r w:rsidRPr="00B47361">
        <w:rPr>
          <w:rFonts w:ascii="Californian FB" w:hAnsi="Californian FB"/>
          <w:sz w:val="40"/>
          <w:szCs w:val="40"/>
        </w:rPr>
        <w:t>2017 3</w:t>
      </w:r>
      <w:r w:rsidRPr="00B47361">
        <w:rPr>
          <w:rFonts w:ascii="Californian FB" w:hAnsi="Californian FB"/>
          <w:sz w:val="40"/>
          <w:szCs w:val="40"/>
          <w:vertAlign w:val="superscript"/>
        </w:rPr>
        <w:t>rd</w:t>
      </w:r>
      <w:r w:rsidRPr="00B47361">
        <w:rPr>
          <w:rFonts w:ascii="Californian FB" w:hAnsi="Californian FB"/>
          <w:sz w:val="40"/>
          <w:szCs w:val="40"/>
        </w:rPr>
        <w:t xml:space="preserve"> Quarter Sales</w:t>
      </w:r>
    </w:p>
    <w:p w:rsidR="00B47361" w:rsidRPr="00B47361" w:rsidRDefault="00B47361">
      <w:pPr>
        <w:rPr>
          <w:rFonts w:ascii="Californian FB" w:hAnsi="Californian FB"/>
          <w:sz w:val="40"/>
          <w:szCs w:val="40"/>
        </w:rPr>
      </w:pPr>
      <w:bookmarkStart w:id="0" w:name="_GoBack"/>
      <w:r>
        <w:rPr>
          <w:noProof/>
        </w:rPr>
        <w:drawing>
          <wp:inline distT="0" distB="0" distL="0" distR="0" wp14:anchorId="43A72C18" wp14:editId="3C35D31C">
            <wp:extent cx="9229725" cy="6210300"/>
            <wp:effectExtent l="0" t="0" r="9525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  <w:bookmarkEnd w:id="0"/>
    </w:p>
    <w:sectPr w:rsidR="00B47361" w:rsidRPr="00B47361" w:rsidSect="00B47361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361"/>
    <w:rsid w:val="00206930"/>
    <w:rsid w:val="00423B33"/>
    <w:rsid w:val="00B47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2883046-D072-4DC5-A55C-A224BB1060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../embeddings/oleObject1.bin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chartUserShapes" Target="../drawings/drawing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/>
              <a:t>538 </a:t>
            </a:r>
            <a:r>
              <a:rPr lang="en-US" baseline="0"/>
              <a:t>Homes Sold</a:t>
            </a:r>
            <a:endParaRPr lang="en-US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bar"/>
        <c:grouping val="stacked"/>
        <c:varyColors val="0"/>
        <c:ser>
          <c:idx val="0"/>
          <c:order val="0"/>
          <c:tx>
            <c:strRef>
              <c:f>[Template.xlsx]Sheet1!$B$1</c:f>
              <c:strCache>
                <c:ptCount val="1"/>
                <c:pt idx="0">
                  <c:v>Totals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1" i="0" u="none" strike="noStrike" kern="1200" baseline="0">
                    <a:solidFill>
                      <a:schemeClr val="bg1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[Template.xlsx]Sheet1!$A$2:$A$15</c:f>
              <c:strCache>
                <c:ptCount val="14"/>
                <c:pt idx="0">
                  <c:v>&gt;$100,000 to &lt;$125,000</c:v>
                </c:pt>
                <c:pt idx="1">
                  <c:v>&gt;$125,000 to &lt;$150,000</c:v>
                </c:pt>
                <c:pt idx="2">
                  <c:v>&gt;$150,000 to &lt;$175,000</c:v>
                </c:pt>
                <c:pt idx="3">
                  <c:v>&gt;$175,000 to &lt;$200,000</c:v>
                </c:pt>
                <c:pt idx="4">
                  <c:v>&gt;$200,000 to &lt;$225,000</c:v>
                </c:pt>
                <c:pt idx="5">
                  <c:v>&gt;$225,000 to &lt;$250,000</c:v>
                </c:pt>
                <c:pt idx="6">
                  <c:v>&gt;$250,000 to &lt;$275,000</c:v>
                </c:pt>
                <c:pt idx="7">
                  <c:v>&gt;$275,000 to &lt;$300,000</c:v>
                </c:pt>
                <c:pt idx="8">
                  <c:v>&gt;$300,000 to &lt;$325,000</c:v>
                </c:pt>
                <c:pt idx="9">
                  <c:v>&gt;$325,000 to &lt;$350,000</c:v>
                </c:pt>
                <c:pt idx="10">
                  <c:v>&gt;$350,000 to &lt;$400,000</c:v>
                </c:pt>
                <c:pt idx="11">
                  <c:v>&gt;$400,000 to &lt;$450,000</c:v>
                </c:pt>
                <c:pt idx="12">
                  <c:v>&gt;$450,000 to &lt;$500,000</c:v>
                </c:pt>
                <c:pt idx="13">
                  <c:v>&gt;$500,000 and up</c:v>
                </c:pt>
              </c:strCache>
            </c:strRef>
          </c:cat>
          <c:val>
            <c:numRef>
              <c:f>[Template.xlsx]Sheet1!$B$2:$B$15</c:f>
              <c:numCache>
                <c:formatCode>General</c:formatCode>
                <c:ptCount val="14"/>
                <c:pt idx="0">
                  <c:v>9</c:v>
                </c:pt>
                <c:pt idx="1">
                  <c:v>13</c:v>
                </c:pt>
                <c:pt idx="2">
                  <c:v>46</c:v>
                </c:pt>
                <c:pt idx="3">
                  <c:v>68</c:v>
                </c:pt>
                <c:pt idx="4">
                  <c:v>98</c:v>
                </c:pt>
                <c:pt idx="5">
                  <c:v>135</c:v>
                </c:pt>
                <c:pt idx="6">
                  <c:v>83</c:v>
                </c:pt>
                <c:pt idx="7">
                  <c:v>47</c:v>
                </c:pt>
                <c:pt idx="8">
                  <c:v>27</c:v>
                </c:pt>
                <c:pt idx="9">
                  <c:v>8</c:v>
                </c:pt>
                <c:pt idx="10">
                  <c:v>1</c:v>
                </c:pt>
                <c:pt idx="11">
                  <c:v>1</c:v>
                </c:pt>
                <c:pt idx="12">
                  <c:v>1</c:v>
                </c:pt>
                <c:pt idx="13">
                  <c:v>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440852688"/>
        <c:axId val="440854256"/>
        <c:axId val="0"/>
      </c:bar3DChart>
      <c:catAx>
        <c:axId val="440852688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40854256"/>
        <c:crosses val="autoZero"/>
        <c:auto val="1"/>
        <c:lblAlgn val="ctr"/>
        <c:lblOffset val="100"/>
        <c:noMultiLvlLbl val="0"/>
      </c:catAx>
      <c:valAx>
        <c:axId val="440854256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extTo"/>
        <c:crossAx val="4408526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  <c:userShapes r:id="rId4"/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0.15996</cdr:x>
      <cdr:y>0.12423</cdr:y>
    </cdr:from>
    <cdr:to>
      <cdr:x>0.41899</cdr:x>
      <cdr:y>0.17178</cdr:y>
    </cdr:to>
    <cdr:sp macro="" textlink="">
      <cdr:nvSpPr>
        <cdr:cNvPr id="2" name="Text Box 1"/>
        <cdr:cNvSpPr txBox="1"/>
      </cdr:nvSpPr>
      <cdr:spPr>
        <a:xfrm xmlns:a="http://schemas.openxmlformats.org/drawingml/2006/main">
          <a:off x="1476375" y="771525"/>
          <a:ext cx="2390775" cy="2952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SqFt </a:t>
          </a:r>
          <a:r>
            <a:rPr lang="en-US" sz="1100" b="1"/>
            <a:t>3,994</a:t>
          </a:r>
          <a:r>
            <a:rPr lang="en-US" sz="1100"/>
            <a:t> - Year</a:t>
          </a:r>
          <a:r>
            <a:rPr lang="en-US" sz="1100" baseline="0"/>
            <a:t> Built </a:t>
          </a:r>
          <a:r>
            <a:rPr lang="en-US" sz="1100" b="1" baseline="0"/>
            <a:t>2005</a:t>
          </a:r>
          <a:endParaRPr lang="en-US" sz="1100" b="1"/>
        </a:p>
      </cdr:txBody>
    </cdr:sp>
  </cdr:relSizeAnchor>
  <cdr:relSizeAnchor xmlns:cdr="http://schemas.openxmlformats.org/drawingml/2006/chartDrawing">
    <cdr:from>
      <cdr:x>0.16099</cdr:x>
      <cdr:y>0.18558</cdr:y>
    </cdr:from>
    <cdr:to>
      <cdr:x>0.44479</cdr:x>
      <cdr:y>0.23466</cdr:y>
    </cdr:to>
    <cdr:sp macro="" textlink="">
      <cdr:nvSpPr>
        <cdr:cNvPr id="3" name="Text Box 2"/>
        <cdr:cNvSpPr txBox="1"/>
      </cdr:nvSpPr>
      <cdr:spPr>
        <a:xfrm xmlns:a="http://schemas.openxmlformats.org/drawingml/2006/main">
          <a:off x="1485900" y="1152525"/>
          <a:ext cx="2619375" cy="3048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SqFt</a:t>
          </a:r>
          <a:r>
            <a:rPr lang="en-US" sz="1100" baseline="0"/>
            <a:t> </a:t>
          </a:r>
          <a:r>
            <a:rPr lang="en-US" sz="1100" b="1" baseline="0"/>
            <a:t>3,751</a:t>
          </a:r>
          <a:r>
            <a:rPr lang="en-US" sz="1100" baseline="0"/>
            <a:t> - Year Built </a:t>
          </a:r>
          <a:r>
            <a:rPr lang="en-US" sz="1100" b="1" baseline="0"/>
            <a:t>2006</a:t>
          </a:r>
          <a:endParaRPr lang="en-US" sz="1100" b="1"/>
        </a:p>
      </cdr:txBody>
    </cdr:sp>
  </cdr:relSizeAnchor>
  <cdr:relSizeAnchor xmlns:cdr="http://schemas.openxmlformats.org/drawingml/2006/chartDrawing">
    <cdr:from>
      <cdr:x>0.16202</cdr:x>
      <cdr:y>0.24847</cdr:y>
    </cdr:from>
    <cdr:to>
      <cdr:x>0.47884</cdr:x>
      <cdr:y>0.29294</cdr:y>
    </cdr:to>
    <cdr:sp macro="" textlink="">
      <cdr:nvSpPr>
        <cdr:cNvPr id="4" name="Text Box 3"/>
        <cdr:cNvSpPr txBox="1"/>
      </cdr:nvSpPr>
      <cdr:spPr>
        <a:xfrm xmlns:a="http://schemas.openxmlformats.org/drawingml/2006/main">
          <a:off x="1495425" y="1543050"/>
          <a:ext cx="2924175" cy="276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SqFt</a:t>
          </a:r>
          <a:r>
            <a:rPr lang="en-US" sz="1100" baseline="0"/>
            <a:t> </a:t>
          </a:r>
          <a:r>
            <a:rPr lang="en-US" sz="1100" b="1" baseline="0"/>
            <a:t>3,244</a:t>
          </a:r>
          <a:r>
            <a:rPr lang="en-US" sz="1100" baseline="0"/>
            <a:t> - Year Built </a:t>
          </a:r>
          <a:r>
            <a:rPr lang="en-US" sz="1100" b="1" baseline="0"/>
            <a:t>1998</a:t>
          </a:r>
          <a:endParaRPr lang="en-US" sz="1100" b="1"/>
        </a:p>
      </cdr:txBody>
    </cdr:sp>
  </cdr:relSizeAnchor>
  <cdr:relSizeAnchor xmlns:cdr="http://schemas.openxmlformats.org/drawingml/2006/chartDrawing">
    <cdr:from>
      <cdr:x>0.15996</cdr:x>
      <cdr:y>0.31442</cdr:y>
    </cdr:from>
    <cdr:to>
      <cdr:x>0.48194</cdr:x>
      <cdr:y>0.3589</cdr:y>
    </cdr:to>
    <cdr:sp macro="" textlink="">
      <cdr:nvSpPr>
        <cdr:cNvPr id="5" name="Text Box 4"/>
        <cdr:cNvSpPr txBox="1"/>
      </cdr:nvSpPr>
      <cdr:spPr>
        <a:xfrm xmlns:a="http://schemas.openxmlformats.org/drawingml/2006/main">
          <a:off x="1476375" y="1952625"/>
          <a:ext cx="2971800" cy="276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SqFt </a:t>
          </a:r>
          <a:r>
            <a:rPr lang="en-US" sz="1100" b="1"/>
            <a:t>3,098 </a:t>
          </a:r>
          <a:r>
            <a:rPr lang="en-US" sz="1100"/>
            <a:t>- Year Built </a:t>
          </a:r>
          <a:r>
            <a:rPr lang="en-US" sz="1100" b="1"/>
            <a:t>2006</a:t>
          </a:r>
        </a:p>
      </cdr:txBody>
    </cdr:sp>
  </cdr:relSizeAnchor>
  <cdr:relSizeAnchor xmlns:cdr="http://schemas.openxmlformats.org/drawingml/2006/chartDrawing">
    <cdr:from>
      <cdr:x>0.16099</cdr:x>
      <cdr:y>0.37883</cdr:y>
    </cdr:from>
    <cdr:to>
      <cdr:x>0.50361</cdr:x>
      <cdr:y>0.42025</cdr:y>
    </cdr:to>
    <cdr:sp macro="" textlink="">
      <cdr:nvSpPr>
        <cdr:cNvPr id="6" name="Text Box 5"/>
        <cdr:cNvSpPr txBox="1"/>
      </cdr:nvSpPr>
      <cdr:spPr>
        <a:xfrm xmlns:a="http://schemas.openxmlformats.org/drawingml/2006/main">
          <a:off x="1485900" y="2352675"/>
          <a:ext cx="3162300" cy="2571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 SqFt </a:t>
          </a:r>
          <a:r>
            <a:rPr lang="en-US" sz="1100" b="1"/>
            <a:t>3,454 </a:t>
          </a:r>
          <a:r>
            <a:rPr lang="en-US" sz="1100"/>
            <a:t>- Average</a:t>
          </a:r>
          <a:r>
            <a:rPr lang="en-US" sz="1100" baseline="0"/>
            <a:t> Year Built </a:t>
          </a:r>
          <a:r>
            <a:rPr lang="en-US" sz="1100" b="1" baseline="0"/>
            <a:t>2005</a:t>
          </a:r>
          <a:endParaRPr lang="en-US" sz="1100" b="1"/>
        </a:p>
      </cdr:txBody>
    </cdr:sp>
  </cdr:relSizeAnchor>
  <cdr:relSizeAnchor xmlns:cdr="http://schemas.openxmlformats.org/drawingml/2006/chartDrawing">
    <cdr:from>
      <cdr:x>0.16099</cdr:x>
      <cdr:y>0.44018</cdr:y>
    </cdr:from>
    <cdr:to>
      <cdr:x>0.53767</cdr:x>
      <cdr:y>0.4816</cdr:y>
    </cdr:to>
    <cdr:sp macro="" textlink="">
      <cdr:nvSpPr>
        <cdr:cNvPr id="7" name="Text Box 6"/>
        <cdr:cNvSpPr txBox="1"/>
      </cdr:nvSpPr>
      <cdr:spPr>
        <a:xfrm xmlns:a="http://schemas.openxmlformats.org/drawingml/2006/main">
          <a:off x="1485900" y="2733675"/>
          <a:ext cx="3476625" cy="2571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 SqFt </a:t>
          </a:r>
          <a:r>
            <a:rPr lang="en-US" sz="1100" b="1"/>
            <a:t>3,129</a:t>
          </a:r>
          <a:r>
            <a:rPr lang="en-US" sz="1100"/>
            <a:t> - Average Year Built </a:t>
          </a:r>
          <a:r>
            <a:rPr lang="en-US" sz="1100" b="1"/>
            <a:t>2005</a:t>
          </a:r>
        </a:p>
      </cdr:txBody>
    </cdr:sp>
  </cdr:relSizeAnchor>
  <cdr:relSizeAnchor xmlns:cdr="http://schemas.openxmlformats.org/drawingml/2006/chartDrawing">
    <cdr:from>
      <cdr:x>0.16202</cdr:x>
      <cdr:y>0.50613</cdr:y>
    </cdr:from>
    <cdr:to>
      <cdr:x>0.49536</cdr:x>
      <cdr:y>0.54908</cdr:y>
    </cdr:to>
    <cdr:sp macro="" textlink="">
      <cdr:nvSpPr>
        <cdr:cNvPr id="8" name="Text Box 7"/>
        <cdr:cNvSpPr txBox="1"/>
      </cdr:nvSpPr>
      <cdr:spPr>
        <a:xfrm xmlns:a="http://schemas.openxmlformats.org/drawingml/2006/main">
          <a:off x="1495425" y="3143250"/>
          <a:ext cx="3076575" cy="2667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 SqFt </a:t>
          </a:r>
          <a:r>
            <a:rPr lang="en-US" sz="1100" b="1"/>
            <a:t>2,749 </a:t>
          </a:r>
          <a:r>
            <a:rPr lang="en-US" sz="1100"/>
            <a:t>- Average Year Built </a:t>
          </a:r>
          <a:r>
            <a:rPr lang="en-US" sz="1100" b="1"/>
            <a:t>2002</a:t>
          </a:r>
        </a:p>
      </cdr:txBody>
    </cdr:sp>
  </cdr:relSizeAnchor>
  <cdr:relSizeAnchor xmlns:cdr="http://schemas.openxmlformats.org/drawingml/2006/chartDrawing">
    <cdr:from>
      <cdr:x>0.16099</cdr:x>
      <cdr:y>0.56595</cdr:y>
    </cdr:from>
    <cdr:to>
      <cdr:x>0.5129</cdr:x>
      <cdr:y>0.6089</cdr:y>
    </cdr:to>
    <cdr:sp macro="" textlink="">
      <cdr:nvSpPr>
        <cdr:cNvPr id="9" name="Text Box 8"/>
        <cdr:cNvSpPr txBox="1"/>
      </cdr:nvSpPr>
      <cdr:spPr>
        <a:xfrm xmlns:a="http://schemas.openxmlformats.org/drawingml/2006/main">
          <a:off x="1485900" y="3514725"/>
          <a:ext cx="3248025" cy="2667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 SqFt </a:t>
          </a:r>
          <a:r>
            <a:rPr lang="en-US" sz="1100" b="1"/>
            <a:t>2,272</a:t>
          </a:r>
          <a:r>
            <a:rPr lang="en-US" sz="1100"/>
            <a:t> - Average Year Built </a:t>
          </a:r>
          <a:r>
            <a:rPr lang="en-US" sz="1100" b="1"/>
            <a:t>2000</a:t>
          </a:r>
        </a:p>
      </cdr:txBody>
    </cdr:sp>
  </cdr:relSizeAnchor>
  <cdr:relSizeAnchor xmlns:cdr="http://schemas.openxmlformats.org/drawingml/2006/chartDrawing">
    <cdr:from>
      <cdr:x>0.15893</cdr:x>
      <cdr:y>0.63037</cdr:y>
    </cdr:from>
    <cdr:to>
      <cdr:x>0.47988</cdr:x>
      <cdr:y>0.66871</cdr:y>
    </cdr:to>
    <cdr:sp macro="" textlink="">
      <cdr:nvSpPr>
        <cdr:cNvPr id="10" name="Text Box 9"/>
        <cdr:cNvSpPr txBox="1"/>
      </cdr:nvSpPr>
      <cdr:spPr>
        <a:xfrm xmlns:a="http://schemas.openxmlformats.org/drawingml/2006/main">
          <a:off x="1466850" y="3914775"/>
          <a:ext cx="2962275" cy="2381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 SqFt </a:t>
          </a:r>
          <a:r>
            <a:rPr lang="en-US" sz="1100" b="1"/>
            <a:t>1,894 </a:t>
          </a:r>
          <a:r>
            <a:rPr lang="en-US" sz="1100"/>
            <a:t>- Average Year Built </a:t>
          </a:r>
          <a:r>
            <a:rPr lang="en-US" sz="1100" b="1"/>
            <a:t>1998</a:t>
          </a:r>
        </a:p>
      </cdr:txBody>
    </cdr:sp>
  </cdr:relSizeAnchor>
  <cdr:relSizeAnchor xmlns:cdr="http://schemas.openxmlformats.org/drawingml/2006/chartDrawing">
    <cdr:from>
      <cdr:x>0.15996</cdr:x>
      <cdr:y>0.69325</cdr:y>
    </cdr:from>
    <cdr:to>
      <cdr:x>0.50671</cdr:x>
      <cdr:y>0.73466</cdr:y>
    </cdr:to>
    <cdr:sp macro="" textlink="">
      <cdr:nvSpPr>
        <cdr:cNvPr id="11" name="Text Box 10"/>
        <cdr:cNvSpPr txBox="1"/>
      </cdr:nvSpPr>
      <cdr:spPr>
        <a:xfrm xmlns:a="http://schemas.openxmlformats.org/drawingml/2006/main">
          <a:off x="1476375" y="4305300"/>
          <a:ext cx="3200400" cy="2571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 SqFt</a:t>
          </a:r>
          <a:r>
            <a:rPr lang="en-US" sz="1100" baseline="0"/>
            <a:t> </a:t>
          </a:r>
          <a:r>
            <a:rPr lang="en-US" sz="1100" b="1" baseline="0"/>
            <a:t>1,562</a:t>
          </a:r>
          <a:r>
            <a:rPr lang="en-US" sz="1100" baseline="0"/>
            <a:t> - Average Year Built </a:t>
          </a:r>
          <a:r>
            <a:rPr lang="en-US" sz="1100" b="1" baseline="0"/>
            <a:t>1992</a:t>
          </a:r>
          <a:endParaRPr lang="en-US" sz="1100" b="1"/>
        </a:p>
      </cdr:txBody>
    </cdr:sp>
  </cdr:relSizeAnchor>
  <cdr:relSizeAnchor xmlns:cdr="http://schemas.openxmlformats.org/drawingml/2006/chartDrawing">
    <cdr:from>
      <cdr:x>0.16099</cdr:x>
      <cdr:y>0.75307</cdr:y>
    </cdr:from>
    <cdr:to>
      <cdr:x>0.516</cdr:x>
      <cdr:y>0.79601</cdr:y>
    </cdr:to>
    <cdr:sp macro="" textlink="">
      <cdr:nvSpPr>
        <cdr:cNvPr id="12" name="Text Box 11"/>
        <cdr:cNvSpPr txBox="1"/>
      </cdr:nvSpPr>
      <cdr:spPr>
        <a:xfrm xmlns:a="http://schemas.openxmlformats.org/drawingml/2006/main">
          <a:off x="1485900" y="4676775"/>
          <a:ext cx="3276600" cy="2667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 SqFt </a:t>
          </a:r>
          <a:r>
            <a:rPr lang="en-US" sz="1100" b="1"/>
            <a:t>1,459</a:t>
          </a:r>
          <a:r>
            <a:rPr lang="en-US" sz="1100"/>
            <a:t> - Average Year Built </a:t>
          </a:r>
          <a:r>
            <a:rPr lang="en-US" sz="1100" b="1"/>
            <a:t>1987</a:t>
          </a:r>
        </a:p>
      </cdr:txBody>
    </cdr:sp>
  </cdr:relSizeAnchor>
  <cdr:relSizeAnchor xmlns:cdr="http://schemas.openxmlformats.org/drawingml/2006/chartDrawing">
    <cdr:from>
      <cdr:x>0.15996</cdr:x>
      <cdr:y>0.81595</cdr:y>
    </cdr:from>
    <cdr:to>
      <cdr:x>0.52322</cdr:x>
      <cdr:y>0.85736</cdr:y>
    </cdr:to>
    <cdr:sp macro="" textlink="">
      <cdr:nvSpPr>
        <cdr:cNvPr id="13" name="Text Box 12"/>
        <cdr:cNvSpPr txBox="1"/>
      </cdr:nvSpPr>
      <cdr:spPr>
        <a:xfrm xmlns:a="http://schemas.openxmlformats.org/drawingml/2006/main">
          <a:off x="1476375" y="5067300"/>
          <a:ext cx="3352800" cy="2571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</a:t>
          </a:r>
          <a:r>
            <a:rPr lang="en-US" sz="1100" baseline="0"/>
            <a:t> SqFt </a:t>
          </a:r>
          <a:r>
            <a:rPr lang="en-US" sz="1100" b="1" baseline="0"/>
            <a:t>1,279</a:t>
          </a:r>
          <a:r>
            <a:rPr lang="en-US" sz="1100" baseline="0"/>
            <a:t> - Average Year Built </a:t>
          </a:r>
          <a:r>
            <a:rPr lang="en-US" sz="1100" b="1" baseline="0"/>
            <a:t>1982</a:t>
          </a:r>
          <a:endParaRPr lang="en-US" sz="1100" b="1"/>
        </a:p>
      </cdr:txBody>
    </cdr:sp>
  </cdr:relSizeAnchor>
  <cdr:relSizeAnchor xmlns:cdr="http://schemas.openxmlformats.org/drawingml/2006/chartDrawing">
    <cdr:from>
      <cdr:x>0.15996</cdr:x>
      <cdr:y>0.8773</cdr:y>
    </cdr:from>
    <cdr:to>
      <cdr:x>0.50671</cdr:x>
      <cdr:y>0.91871</cdr:y>
    </cdr:to>
    <cdr:sp macro="" textlink="">
      <cdr:nvSpPr>
        <cdr:cNvPr id="14" name="Text Box 13"/>
        <cdr:cNvSpPr txBox="1"/>
      </cdr:nvSpPr>
      <cdr:spPr>
        <a:xfrm xmlns:a="http://schemas.openxmlformats.org/drawingml/2006/main">
          <a:off x="1476375" y="5448300"/>
          <a:ext cx="3200400" cy="2571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 SqFt </a:t>
          </a:r>
          <a:r>
            <a:rPr lang="en-US" sz="1100" b="1"/>
            <a:t>1,282</a:t>
          </a:r>
          <a:r>
            <a:rPr lang="en-US" sz="1100"/>
            <a:t> - Average Year Built </a:t>
          </a:r>
          <a:r>
            <a:rPr lang="en-US" sz="1100" b="1"/>
            <a:t>1981</a:t>
          </a:r>
        </a:p>
      </cdr:txBody>
    </cdr:sp>
  </cdr:relSizeAnchor>
  <cdr:relSizeAnchor xmlns:cdr="http://schemas.openxmlformats.org/drawingml/2006/chartDrawing">
    <cdr:from>
      <cdr:x>0.15996</cdr:x>
      <cdr:y>0.94172</cdr:y>
    </cdr:from>
    <cdr:to>
      <cdr:x>0.52632</cdr:x>
      <cdr:y>0.98313</cdr:y>
    </cdr:to>
    <cdr:sp macro="" textlink="">
      <cdr:nvSpPr>
        <cdr:cNvPr id="15" name="Text Box 14"/>
        <cdr:cNvSpPr txBox="1"/>
      </cdr:nvSpPr>
      <cdr:spPr>
        <a:xfrm xmlns:a="http://schemas.openxmlformats.org/drawingml/2006/main">
          <a:off x="1476375" y="5848350"/>
          <a:ext cx="3381375" cy="2571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 SqFt </a:t>
          </a:r>
          <a:r>
            <a:rPr lang="en-US" sz="1100" b="1"/>
            <a:t>1,414 </a:t>
          </a:r>
          <a:r>
            <a:rPr lang="en-US" sz="1100"/>
            <a:t>- Average Year Built</a:t>
          </a:r>
          <a:r>
            <a:rPr lang="en-US" sz="1100" baseline="0"/>
            <a:t> </a:t>
          </a:r>
          <a:r>
            <a:rPr lang="en-US" sz="1100" b="1" baseline="0"/>
            <a:t>1973</a:t>
          </a:r>
          <a:endParaRPr lang="en-US" sz="1100" b="1"/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5</Words>
  <Characters>32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Fidelity National Financial</Company>
  <LinksUpToDate>false</LinksUpToDate>
  <CharactersWithSpaces>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Walker, Jason</dc:creator>
  <cp:keywords/>
  <dc:description/>
  <cp:lastModifiedBy>Walker, Jason</cp:lastModifiedBy>
  <cp:revision>2</cp:revision>
  <dcterms:created xsi:type="dcterms:W3CDTF">2017-10-23T20:46:00Z</dcterms:created>
  <dcterms:modified xsi:type="dcterms:W3CDTF">2017-10-23T21:04:00Z</dcterms:modified>
</cp:coreProperties>
</file>